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52563" cy="871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87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1118676" cy="92690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8676" cy="9269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IAPTC Executive Committee Meeting (ECM)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6-8 May 2025 (In-person)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Vicenza, Italy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5295"/>
        <w:gridCol w:w="3015"/>
        <w:tblGridChange w:id="0">
          <w:tblGrid>
            <w:gridCol w:w="2220"/>
            <w:gridCol w:w="5295"/>
            <w:gridCol w:w="3015"/>
          </w:tblGrid>
        </w:tblGridChange>
      </w:tblGrid>
      <w:tr>
        <w:trPr>
          <w:cantSplit w:val="0"/>
          <w:trHeight w:val="29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AGREEMENT/DECISION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 Opening of the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IAPTC President opened the meeting with welcoming remarks and invited the Executive Committee members to introduce themselves in a tour de table.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Following this, the presidency team provided a summary of lessons learned from the 28th Annual Conference held in Islamabad, Pakistan, from November 4th to November 8th, 2024, as well as </w:t>
            </w:r>
            <w:r w:rsidDel="00000000" w:rsidR="00000000" w:rsidRPr="00000000">
              <w:rPr>
                <w:rtl w:val="0"/>
              </w:rPr>
              <w:t xml:space="preserve">suggestions</w:t>
            </w:r>
            <w:r w:rsidDel="00000000" w:rsidR="00000000" w:rsidRPr="00000000">
              <w:rPr>
                <w:rtl w:val="0"/>
              </w:rPr>
              <w:t xml:space="preserve"> for the 29th Annual Conference theme and sub-themes.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2- The Secretariat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IAPTC Secretariat presented its report, followed by a presentation detailing the guidelines for the conference’s main theme and sub-themes.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Secretariat presented an overview of the themes from previous Annual Conferences, along with a brief summary of the suggested themes and sub-themes for the 29th Annual Conference, as proposed by members and collected via the IAPTC webmail.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pedagogical chair also presented some suggestions for themes and sub-themes.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 ExCom emphasized the importance of incorporating members’ suggestions when developing the agenda and actively engaging them in the conference program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3- 29th IAPTC Annual Conference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host of the 29th Annual Conference, the Center of Excellence for Stability Police Units (CoESPU), delivered opening remarks and gave a presentation highlighting the Center’s activities.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Host presented prospective venues for the 29th IAPTC Annual Conference as well as suggested themes and sub-themes for the conference.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IAPTC 29th Annual Conference will be physically held from 10-14 November 2025 at the Center for Stability Police Units (CoESPU) in Vicenza, Italy.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Online registration will start once the website is launched and ready.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IAPTC members will be informed of updates regarding the annual conference in June 2025.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4- Annual Conference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Conference Theme 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29th IAPTC Annual Conference will be held under the theme </w:t>
            </w: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color w:val="222222"/>
                <w:highlight w:val="white"/>
                <w:rtl w:val="0"/>
              </w:rPr>
              <w:t xml:space="preserve">Peace operations training in a dynamic world: fostering cooperation, inclusivity and efficiency</w:t>
            </w:r>
            <w:r w:rsidDel="00000000" w:rsidR="00000000" w:rsidRPr="00000000">
              <w:rPr>
                <w:i w:val="1"/>
                <w:rtl w:val="0"/>
              </w:rPr>
              <w:t xml:space="preserve">.”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Topics to be discussed include :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Peace Operations in a changing world: overview, challenges and opportunities;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Strategic communications and information integrity in peace operations contexts;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Harnessing emerging technologies for effective peace operations training;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Leveraging partnerships for peace operations (with an emphasis on African-led peace operations and other partnerships);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 pre-deployment preparation for operational readiness: best practices and lessons learned;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Mutual Engagement and Supportive Relationships between Host Countries and Peace Operations.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Spotlight Sessions: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Celebrating the Anniversaries of the Women, Peace and Security and Youth, Peace and Security Agendas.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Celebrating 30 Years of the IAPTC (1995-2025).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IAPTC CDC Chair will develop the concept note for the annual conference, in coordination with the host and the ExCom members.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ExCom members are tasked with compiling a list of speakers in order to finalize the agenda during the next meeting.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Updated agenda and list of speakers should be communicated to all ExCom members.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Gender balance, functional balance (civilian/police/military) and regional balance to be considered during speakers’ selection process.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balance between the number of speakers and discussion time should be maintained, as highlighted during the past few Annual General Meetings.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5- UN Police 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EC agreed to uphold UN Police Day, one day before the conference in accordance with previous editions (9 November 2025).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CoESPU, supported by the IAPTC Secretariat and the Police Chair, will initiate coordination with UNPOL for the organization of UN Police Day.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6- Administrative and functioning matters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Tanzania, as the host designate of the 30th IAPTC Annual Conference attended the meeting, officially joining the EC.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</w:pPr>
            <w:r w:rsidDel="00000000" w:rsidR="00000000" w:rsidRPr="00000000">
              <w:rPr>
                <w:rtl w:val="0"/>
              </w:rPr>
              <w:t xml:space="preserve">The term for the current Executive Committee Functional Chairs (Military / Police / Civilian / Pedagogical) ends with the organization of the 30th IAPTC Annual Conference.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7- Follow-up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EC members expressed their willingness to actively contribute to the upcoming preparations for the IAPTC Annual Conference.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 Secretariat is to inform the IAPTC community of the ECM decisions, and to update the website accordingly. </w:t>
            </w:r>
          </w:p>
        </w:tc>
      </w:tr>
    </w:tbl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13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